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2F225" w14:textId="77777777" w:rsidR="006C42CA" w:rsidRPr="00330128" w:rsidRDefault="00D971CF" w:rsidP="00D971CF">
      <w:pPr>
        <w:jc w:val="center"/>
        <w:rPr>
          <w:b/>
          <w:u w:val="single"/>
        </w:rPr>
      </w:pPr>
      <w:bookmarkStart w:id="0" w:name="_GoBack"/>
      <w:bookmarkEnd w:id="0"/>
      <w:r w:rsidRPr="00330128">
        <w:rPr>
          <w:b/>
          <w:u w:val="single"/>
        </w:rPr>
        <w:t>Outline of Written Lessons-  Digital Ethics Curriculum</w:t>
      </w:r>
    </w:p>
    <w:p w14:paraId="43607D10" w14:textId="77777777" w:rsidR="00497FD3" w:rsidRPr="00330128" w:rsidRDefault="00497FD3" w:rsidP="00D971CF">
      <w:pPr>
        <w:jc w:val="center"/>
        <w:rPr>
          <w:i/>
        </w:rPr>
      </w:pPr>
      <w:r w:rsidRPr="00330128">
        <w:rPr>
          <w:i/>
        </w:rPr>
        <w:t>Primary Lesson</w:t>
      </w:r>
    </w:p>
    <w:p w14:paraId="67AA9FF5" w14:textId="77777777" w:rsidR="00D971CF" w:rsidRPr="00330128" w:rsidRDefault="00D971CF" w:rsidP="00D971CF">
      <w:pPr>
        <w:pStyle w:val="ListParagraph"/>
        <w:numPr>
          <w:ilvl w:val="0"/>
          <w:numId w:val="1"/>
        </w:numPr>
      </w:pPr>
      <w:r w:rsidRPr="00330128">
        <w:rPr>
          <w:b/>
        </w:rPr>
        <w:t>Why Digital Ethics?</w:t>
      </w:r>
      <w:r w:rsidRPr="00330128">
        <w:t xml:space="preserve"> Start with ethics example of Yelp and “scrubbing”</w:t>
      </w:r>
    </w:p>
    <w:p w14:paraId="17C76F58" w14:textId="77777777" w:rsidR="00D971CF" w:rsidRPr="00330128" w:rsidRDefault="00D971CF" w:rsidP="00D971CF">
      <w:pPr>
        <w:pStyle w:val="ListParagraph"/>
        <w:numPr>
          <w:ilvl w:val="1"/>
          <w:numId w:val="1"/>
        </w:numPr>
      </w:pPr>
      <w:r w:rsidRPr="00330128">
        <w:t>Third Party Review Sites and Reputation Management as a function of Public Relations</w:t>
      </w:r>
    </w:p>
    <w:p w14:paraId="590747AD" w14:textId="77777777" w:rsidR="00D971CF" w:rsidRPr="00330128" w:rsidRDefault="00D971CF" w:rsidP="00D971CF">
      <w:pPr>
        <w:pStyle w:val="ListParagraph"/>
        <w:numPr>
          <w:ilvl w:val="1"/>
          <w:numId w:val="1"/>
        </w:numPr>
      </w:pPr>
      <w:r w:rsidRPr="00330128">
        <w:t xml:space="preserve">Define Scrubbing </w:t>
      </w:r>
    </w:p>
    <w:p w14:paraId="0755A758" w14:textId="77777777" w:rsidR="00D971CF" w:rsidRPr="00330128" w:rsidRDefault="00D971CF" w:rsidP="00D971CF">
      <w:pPr>
        <w:pStyle w:val="ListParagraph"/>
        <w:numPr>
          <w:ilvl w:val="1"/>
          <w:numId w:val="1"/>
        </w:numPr>
      </w:pPr>
      <w:r w:rsidRPr="00330128">
        <w:t xml:space="preserve">Yelp’s crisis of public trust </w:t>
      </w:r>
    </w:p>
    <w:p w14:paraId="7C01993B" w14:textId="77777777" w:rsidR="00D971CF" w:rsidRPr="00330128" w:rsidRDefault="00D971CF" w:rsidP="00D971CF">
      <w:pPr>
        <w:pStyle w:val="ListParagraph"/>
        <w:numPr>
          <w:ilvl w:val="1"/>
          <w:numId w:val="1"/>
        </w:numPr>
      </w:pPr>
      <w:r w:rsidRPr="00330128">
        <w:t>Fixing the problem through campaigns to regain trust (YouTube, website, and social media)</w:t>
      </w:r>
    </w:p>
    <w:p w14:paraId="64606A76" w14:textId="77777777" w:rsidR="00D971CF" w:rsidRPr="00330128" w:rsidRDefault="00D971CF" w:rsidP="00D971CF">
      <w:pPr>
        <w:pStyle w:val="ListParagraph"/>
        <w:numPr>
          <w:ilvl w:val="1"/>
          <w:numId w:val="1"/>
        </w:numPr>
      </w:pPr>
      <w:r w:rsidRPr="00330128">
        <w:t>Unethical v. Illegal</w:t>
      </w:r>
    </w:p>
    <w:p w14:paraId="61E11EC9" w14:textId="77777777" w:rsidR="00D971CF" w:rsidRPr="00330128" w:rsidRDefault="00D971CF" w:rsidP="00D971CF">
      <w:pPr>
        <w:pStyle w:val="ListParagraph"/>
        <w:numPr>
          <w:ilvl w:val="2"/>
          <w:numId w:val="1"/>
        </w:numPr>
      </w:pPr>
      <w:r w:rsidRPr="00330128">
        <w:t>Challenges to scrubbing in Court- Yelp wins the case and is legally allowed to scrub profiles, but is this ethical?</w:t>
      </w:r>
    </w:p>
    <w:p w14:paraId="1466F0C5" w14:textId="77777777" w:rsidR="00D971CF" w:rsidRPr="00330128" w:rsidRDefault="00D971CF" w:rsidP="00D971CF">
      <w:pPr>
        <w:pStyle w:val="ListParagraph"/>
        <w:numPr>
          <w:ilvl w:val="0"/>
          <w:numId w:val="1"/>
        </w:numPr>
      </w:pPr>
      <w:r w:rsidRPr="00330128">
        <w:rPr>
          <w:b/>
        </w:rPr>
        <w:t>Ethics in Digital Media</w:t>
      </w:r>
      <w:r w:rsidRPr="00330128">
        <w:t xml:space="preserve"> Apply ethics definition from Module 1 to digital environment</w:t>
      </w:r>
    </w:p>
    <w:p w14:paraId="4C2F70AF" w14:textId="77777777" w:rsidR="00D971CF" w:rsidRPr="00330128" w:rsidRDefault="00D971CF" w:rsidP="00D971CF">
      <w:pPr>
        <w:pStyle w:val="ListParagraph"/>
        <w:numPr>
          <w:ilvl w:val="1"/>
          <w:numId w:val="1"/>
        </w:numPr>
      </w:pPr>
      <w:r w:rsidRPr="00330128">
        <w:t xml:space="preserve">Define digital media- </w:t>
      </w:r>
      <w:r w:rsidRPr="00330128">
        <w:rPr>
          <w:rFonts w:eastAsia="Times New Roman" w:cs="Times New Roman"/>
        </w:rPr>
        <w:t xml:space="preserve">digital media is defined as a platform, site, or space of multi-directional, instantaneous communication (Edwards &amp; </w:t>
      </w:r>
      <w:proofErr w:type="spellStart"/>
      <w:r w:rsidRPr="00330128">
        <w:rPr>
          <w:rFonts w:eastAsia="Times New Roman" w:cs="Times New Roman"/>
        </w:rPr>
        <w:t>Pieczka</w:t>
      </w:r>
      <w:proofErr w:type="spellEnd"/>
      <w:r w:rsidRPr="00330128">
        <w:rPr>
          <w:rFonts w:eastAsia="Times New Roman" w:cs="Times New Roman"/>
        </w:rPr>
        <w:t>, 2013)</w:t>
      </w:r>
    </w:p>
    <w:p w14:paraId="5302CF7A" w14:textId="77777777" w:rsidR="00D971CF" w:rsidRPr="00330128" w:rsidRDefault="00D971CF" w:rsidP="00D971CF">
      <w:pPr>
        <w:pStyle w:val="ListParagraph"/>
        <w:numPr>
          <w:ilvl w:val="2"/>
          <w:numId w:val="1"/>
        </w:numPr>
      </w:pPr>
      <w:r w:rsidRPr="00330128">
        <w:t>Provide examples of digital media- social, mobile, and electronic forms of communication common to student lives</w:t>
      </w:r>
    </w:p>
    <w:p w14:paraId="2DDE565C" w14:textId="77777777" w:rsidR="00D971CF" w:rsidRPr="00330128" w:rsidRDefault="00D971CF" w:rsidP="00D971CF">
      <w:pPr>
        <w:pStyle w:val="ListParagraph"/>
        <w:numPr>
          <w:ilvl w:val="2"/>
          <w:numId w:val="1"/>
        </w:numPr>
      </w:pPr>
      <w:r w:rsidRPr="00330128">
        <w:t xml:space="preserve">Explain why digital media critical to public relations </w:t>
      </w:r>
    </w:p>
    <w:p w14:paraId="45A3D57F" w14:textId="77777777" w:rsidR="00D971CF" w:rsidRPr="00330128" w:rsidRDefault="00D971CF" w:rsidP="00D971CF">
      <w:pPr>
        <w:pStyle w:val="ListParagraph"/>
        <w:numPr>
          <w:ilvl w:val="3"/>
          <w:numId w:val="1"/>
        </w:numPr>
      </w:pPr>
      <w:r w:rsidRPr="00330128">
        <w:t>Examples of companies who must manage a digital brand or presence</w:t>
      </w:r>
    </w:p>
    <w:p w14:paraId="39424D51" w14:textId="77777777" w:rsidR="00D971CF" w:rsidRPr="00330128" w:rsidRDefault="00D971CF" w:rsidP="00D971CF">
      <w:pPr>
        <w:pStyle w:val="ListParagraph"/>
        <w:numPr>
          <w:ilvl w:val="1"/>
          <w:numId w:val="1"/>
        </w:numPr>
      </w:pPr>
      <w:r w:rsidRPr="00330128">
        <w:t>Ethical Guidelines for Digital Public Relations</w:t>
      </w:r>
    </w:p>
    <w:p w14:paraId="3F9CF0A5" w14:textId="77777777" w:rsidR="00D971CF" w:rsidRPr="00330128" w:rsidRDefault="00D971CF" w:rsidP="00D971CF">
      <w:pPr>
        <w:pStyle w:val="ListParagraph"/>
        <w:numPr>
          <w:ilvl w:val="2"/>
          <w:numId w:val="1"/>
        </w:numPr>
      </w:pPr>
      <w:r w:rsidRPr="00330128">
        <w:t>1-800-Flowers example of using digital media to avoid a crisis and facilitate communication with their customers</w:t>
      </w:r>
    </w:p>
    <w:p w14:paraId="02C8CA14" w14:textId="77777777" w:rsidR="00D971CF" w:rsidRPr="00330128" w:rsidRDefault="00D971CF" w:rsidP="00D971CF">
      <w:pPr>
        <w:pStyle w:val="ListParagraph"/>
        <w:numPr>
          <w:ilvl w:val="2"/>
          <w:numId w:val="1"/>
        </w:numPr>
      </w:pPr>
      <w:r w:rsidRPr="00330128">
        <w:t>Reinforce the difference between illegal and unethical</w:t>
      </w:r>
    </w:p>
    <w:p w14:paraId="6BFD1676" w14:textId="77777777" w:rsidR="00D971CF" w:rsidRPr="00330128" w:rsidRDefault="00D971CF" w:rsidP="00D971CF">
      <w:pPr>
        <w:pStyle w:val="ListParagraph"/>
        <w:numPr>
          <w:ilvl w:val="0"/>
          <w:numId w:val="1"/>
        </w:numPr>
        <w:rPr>
          <w:b/>
        </w:rPr>
      </w:pPr>
      <w:r w:rsidRPr="00330128">
        <w:rPr>
          <w:b/>
        </w:rPr>
        <w:t>15 Ethical Guidelines for Digital Public Relations</w:t>
      </w:r>
    </w:p>
    <w:p w14:paraId="6753ABB9" w14:textId="77777777" w:rsidR="00D971CF" w:rsidRPr="00330128" w:rsidRDefault="00D971CF" w:rsidP="00D971CF">
      <w:pPr>
        <w:pStyle w:val="ListParagraph"/>
        <w:numPr>
          <w:ilvl w:val="1"/>
          <w:numId w:val="1"/>
        </w:numPr>
      </w:pPr>
      <w:r w:rsidRPr="00330128">
        <w:t>Introduce the 15 ethical principles from Bowen (2013)</w:t>
      </w:r>
    </w:p>
    <w:p w14:paraId="0FEFB68C" w14:textId="77777777" w:rsidR="00D971CF" w:rsidRPr="00330128" w:rsidRDefault="00497FD3" w:rsidP="00D971CF">
      <w:pPr>
        <w:pStyle w:val="ListParagraph"/>
        <w:numPr>
          <w:ilvl w:val="1"/>
          <w:numId w:val="1"/>
        </w:numPr>
      </w:pPr>
      <w:r w:rsidRPr="00330128">
        <w:rPr>
          <w:rFonts w:eastAsia="Times New Roman" w:cs="Times New Roman"/>
        </w:rPr>
        <w:t>Define and provide an example of each of the 15: be fair and prudent, avoid deception, maintain dignity and respect, eschew secrecy, is it reversible(?), be transparent, clearly identify, rational analysis, emphasize clarity, disclose, verify sources and data, establish responsibility, examine intention, encourage the good, and consistency builds trust.</w:t>
      </w:r>
    </w:p>
    <w:p w14:paraId="7A3AC045" w14:textId="77777777" w:rsidR="00497FD3" w:rsidRPr="00330128" w:rsidRDefault="00497FD3" w:rsidP="00497FD3">
      <w:pPr>
        <w:pStyle w:val="ListParagraph"/>
        <w:numPr>
          <w:ilvl w:val="2"/>
          <w:numId w:val="1"/>
        </w:numPr>
        <w:spacing w:after="200"/>
        <w:ind w:right="440"/>
      </w:pPr>
      <w:r w:rsidRPr="00330128">
        <w:t xml:space="preserve">Ex: </w:t>
      </w:r>
      <w:r w:rsidRPr="00330128">
        <w:rPr>
          <w:rFonts w:eastAsia="Times New Roman" w:cs="Times New Roman"/>
        </w:rPr>
        <w:t xml:space="preserve">the principle of “maintain dignity and respect” will be first defined as “ensuring communication respects public expectations of privacy, security, and fairness.” This definition will be also expanded upon, by reflecting on what privacy may mean (including a basic overview IP addresses, cookies, and other tracking software- which will be expanded upon next lesson). The concept will then be related to one of the case studies already presented, such as discussing how Yelp failed to respect the privacy of users by revealing their identity to retailers who paid. </w:t>
      </w:r>
    </w:p>
    <w:p w14:paraId="3AEF05BC" w14:textId="77777777" w:rsidR="00497FD3" w:rsidRPr="00330128" w:rsidRDefault="00497FD3" w:rsidP="00497FD3">
      <w:pPr>
        <w:pStyle w:val="ListParagraph"/>
        <w:numPr>
          <w:ilvl w:val="0"/>
          <w:numId w:val="1"/>
        </w:numPr>
        <w:rPr>
          <w:b/>
        </w:rPr>
      </w:pPr>
      <w:proofErr w:type="spellStart"/>
      <w:r w:rsidRPr="00330128">
        <w:rPr>
          <w:b/>
        </w:rPr>
        <w:t>Cyberethics</w:t>
      </w:r>
      <w:proofErr w:type="spellEnd"/>
      <w:r w:rsidRPr="00330128">
        <w:rPr>
          <w:b/>
        </w:rPr>
        <w:t xml:space="preserve"> Statements</w:t>
      </w:r>
    </w:p>
    <w:p w14:paraId="7EBBE212" w14:textId="77777777" w:rsidR="00497FD3" w:rsidRPr="00330128" w:rsidRDefault="00497FD3" w:rsidP="00497FD3">
      <w:pPr>
        <w:pStyle w:val="ListParagraph"/>
        <w:numPr>
          <w:ilvl w:val="1"/>
          <w:numId w:val="1"/>
        </w:numPr>
      </w:pPr>
      <w:r w:rsidRPr="00330128">
        <w:t xml:space="preserve">Why companies publish statements on digital ethics (aka: </w:t>
      </w:r>
      <w:proofErr w:type="spellStart"/>
      <w:r w:rsidRPr="00330128">
        <w:t>cyberethics</w:t>
      </w:r>
      <w:proofErr w:type="spellEnd"/>
      <w:r w:rsidRPr="00330128">
        <w:t xml:space="preserve"> statements)</w:t>
      </w:r>
    </w:p>
    <w:p w14:paraId="08DCD882" w14:textId="77777777" w:rsidR="00497FD3" w:rsidRPr="00330128" w:rsidRDefault="00497FD3" w:rsidP="00497FD3">
      <w:pPr>
        <w:pStyle w:val="ListParagraph"/>
        <w:numPr>
          <w:ilvl w:val="1"/>
          <w:numId w:val="1"/>
        </w:numPr>
      </w:pPr>
      <w:r w:rsidRPr="00330128">
        <w:t>Ex: Microsoft</w:t>
      </w:r>
    </w:p>
    <w:p w14:paraId="1B6AB265" w14:textId="77777777" w:rsidR="00497FD3" w:rsidRPr="00330128" w:rsidRDefault="00497FD3" w:rsidP="00497FD3">
      <w:pPr>
        <w:pStyle w:val="ListParagraph"/>
        <w:numPr>
          <w:ilvl w:val="2"/>
          <w:numId w:val="1"/>
        </w:numPr>
      </w:pPr>
      <w:r w:rsidRPr="00330128">
        <w:rPr>
          <w:rFonts w:eastAsia="Times New Roman" w:cs="Times New Roman"/>
        </w:rPr>
        <w:t>Microsoft's extensive “</w:t>
      </w:r>
      <w:proofErr w:type="spellStart"/>
      <w:r w:rsidRPr="00330128">
        <w:rPr>
          <w:rFonts w:eastAsia="Times New Roman" w:cs="Times New Roman"/>
        </w:rPr>
        <w:t>Cyberethics</w:t>
      </w:r>
      <w:proofErr w:type="spellEnd"/>
      <w:r w:rsidRPr="00330128">
        <w:rPr>
          <w:rFonts w:eastAsia="Times New Roman" w:cs="Times New Roman"/>
        </w:rPr>
        <w:t xml:space="preserve"> Statement” tells the public the types of tracking software they use while visitors search their site. In addition, they recommend the public is mindful of the personal data shared while online.</w:t>
      </w:r>
    </w:p>
    <w:p w14:paraId="674A84E3" w14:textId="77777777" w:rsidR="00497FD3" w:rsidRPr="00330128" w:rsidRDefault="00497FD3" w:rsidP="00497FD3">
      <w:pPr>
        <w:pStyle w:val="ListParagraph"/>
        <w:numPr>
          <w:ilvl w:val="1"/>
          <w:numId w:val="1"/>
        </w:numPr>
      </w:pPr>
      <w:r w:rsidRPr="00330128">
        <w:rPr>
          <w:rFonts w:eastAsia="Times New Roman" w:cs="Times New Roman"/>
        </w:rPr>
        <w:t>Ex: Facebook</w:t>
      </w:r>
    </w:p>
    <w:p w14:paraId="30D8DB26" w14:textId="77777777" w:rsidR="00497FD3" w:rsidRPr="00330128" w:rsidRDefault="00497FD3" w:rsidP="00497FD3">
      <w:pPr>
        <w:pStyle w:val="ListParagraph"/>
        <w:numPr>
          <w:ilvl w:val="2"/>
          <w:numId w:val="1"/>
        </w:numPr>
      </w:pPr>
      <w:r w:rsidRPr="00330128">
        <w:rPr>
          <w:rFonts w:eastAsia="Times New Roman" w:cs="Times New Roman"/>
        </w:rPr>
        <w:lastRenderedPageBreak/>
        <w:t>vague, two-sentence statement from Facebook, which encourages Facebook personnel to practice “extreme sensitivity and caution” when accessing personal information of users.</w:t>
      </w:r>
    </w:p>
    <w:p w14:paraId="0A5BFCC0" w14:textId="77777777" w:rsidR="00497FD3" w:rsidRPr="00330128" w:rsidRDefault="00497FD3" w:rsidP="00497FD3">
      <w:pPr>
        <w:pStyle w:val="ListParagraph"/>
        <w:numPr>
          <w:ilvl w:val="1"/>
          <w:numId w:val="1"/>
        </w:numPr>
      </w:pPr>
      <w:r w:rsidRPr="00330128">
        <w:rPr>
          <w:rFonts w:eastAsia="Times New Roman" w:cs="Times New Roman"/>
        </w:rPr>
        <w:t>Compare the details of Microsoft to vagueness of Facebook</w:t>
      </w:r>
    </w:p>
    <w:p w14:paraId="05FC1138" w14:textId="77777777" w:rsidR="00497FD3" w:rsidRPr="00330128" w:rsidRDefault="00497FD3" w:rsidP="00497FD3">
      <w:pPr>
        <w:pStyle w:val="ListParagraph"/>
        <w:numPr>
          <w:ilvl w:val="2"/>
          <w:numId w:val="1"/>
        </w:numPr>
      </w:pPr>
      <w:r w:rsidRPr="00330128">
        <w:rPr>
          <w:rFonts w:eastAsia="Times New Roman" w:cs="Times New Roman"/>
        </w:rPr>
        <w:t xml:space="preserve">Encourage students to look at the </w:t>
      </w:r>
      <w:proofErr w:type="spellStart"/>
      <w:r w:rsidRPr="00330128">
        <w:rPr>
          <w:rFonts w:eastAsia="Times New Roman" w:cs="Times New Roman"/>
        </w:rPr>
        <w:t>Cyberethics</w:t>
      </w:r>
      <w:proofErr w:type="spellEnd"/>
      <w:r w:rsidRPr="00330128">
        <w:rPr>
          <w:rFonts w:eastAsia="Times New Roman" w:cs="Times New Roman"/>
        </w:rPr>
        <w:t xml:space="preserve"> statements of their own favorite brands or organizations</w:t>
      </w:r>
    </w:p>
    <w:p w14:paraId="322D3F0D" w14:textId="77777777" w:rsidR="00497FD3" w:rsidRPr="00330128" w:rsidRDefault="00497FD3" w:rsidP="00497FD3">
      <w:pPr>
        <w:jc w:val="center"/>
        <w:rPr>
          <w:i/>
        </w:rPr>
      </w:pPr>
      <w:r w:rsidRPr="00330128">
        <w:rPr>
          <w:i/>
        </w:rPr>
        <w:t>Secondary Lesson</w:t>
      </w:r>
    </w:p>
    <w:p w14:paraId="0CD8A7EC" w14:textId="77777777" w:rsidR="00497FD3" w:rsidRPr="00330128" w:rsidRDefault="00497FD3" w:rsidP="00497FD3">
      <w:pPr>
        <w:pStyle w:val="ListParagraph"/>
        <w:numPr>
          <w:ilvl w:val="0"/>
          <w:numId w:val="2"/>
        </w:numPr>
        <w:rPr>
          <w:b/>
        </w:rPr>
      </w:pPr>
      <w:r w:rsidRPr="00330128">
        <w:rPr>
          <w:b/>
        </w:rPr>
        <w:t>Digital Public Relations Tools and Ethics</w:t>
      </w:r>
    </w:p>
    <w:p w14:paraId="6EAEC62C" w14:textId="77777777" w:rsidR="00497FD3" w:rsidRPr="00330128" w:rsidRDefault="00497FD3" w:rsidP="00497FD3">
      <w:pPr>
        <w:pStyle w:val="ListParagraph"/>
        <w:numPr>
          <w:ilvl w:val="1"/>
          <w:numId w:val="2"/>
        </w:numPr>
      </w:pPr>
      <w:r w:rsidRPr="00330128">
        <w:t>Overview what tools are available to public relations campaigns and plans</w:t>
      </w:r>
    </w:p>
    <w:p w14:paraId="41F58417" w14:textId="77777777" w:rsidR="00497FD3" w:rsidRPr="00330128" w:rsidRDefault="00497FD3" w:rsidP="00497FD3">
      <w:pPr>
        <w:pStyle w:val="ListParagraph"/>
        <w:numPr>
          <w:ilvl w:val="2"/>
          <w:numId w:val="2"/>
        </w:numPr>
      </w:pPr>
      <w:r w:rsidRPr="00330128">
        <w:t xml:space="preserve">i.e. </w:t>
      </w:r>
      <w:r w:rsidRPr="00330128">
        <w:rPr>
          <w:rFonts w:eastAsia="Times New Roman" w:cs="Times New Roman"/>
        </w:rPr>
        <w:t>cookies and tracking software, personalized integrated marketing campaigns, and big-data databases</w:t>
      </w:r>
    </w:p>
    <w:p w14:paraId="02D934CF" w14:textId="77777777" w:rsidR="00497FD3" w:rsidRPr="00330128" w:rsidRDefault="00497FD3" w:rsidP="00497FD3">
      <w:pPr>
        <w:pStyle w:val="ListParagraph"/>
        <w:numPr>
          <w:ilvl w:val="1"/>
          <w:numId w:val="2"/>
        </w:numPr>
      </w:pPr>
      <w:r w:rsidRPr="00330128">
        <w:rPr>
          <w:rFonts w:eastAsia="Times New Roman" w:cs="Times New Roman"/>
        </w:rPr>
        <w:t>Public anxiety over these tools</w:t>
      </w:r>
    </w:p>
    <w:p w14:paraId="61CBA37E" w14:textId="77777777" w:rsidR="00497FD3" w:rsidRPr="00330128" w:rsidRDefault="00497FD3" w:rsidP="00497FD3">
      <w:pPr>
        <w:pStyle w:val="ListParagraph"/>
        <w:numPr>
          <w:ilvl w:val="2"/>
          <w:numId w:val="2"/>
        </w:numPr>
      </w:pPr>
      <w:r w:rsidRPr="00330128">
        <w:t xml:space="preserve">1. </w:t>
      </w:r>
      <w:r w:rsidRPr="00330128">
        <w:rPr>
          <w:rFonts w:eastAsia="Times New Roman" w:cs="Times New Roman"/>
        </w:rPr>
        <w:t xml:space="preserve">the public was most concerned with their diminished privacy and the targeting of campaigns based on personal information (obtained through tracking software). </w:t>
      </w:r>
    </w:p>
    <w:p w14:paraId="5C4BFEC0" w14:textId="77777777" w:rsidR="00497FD3" w:rsidRPr="00330128" w:rsidRDefault="00497FD3" w:rsidP="00497FD3">
      <w:pPr>
        <w:pStyle w:val="ListParagraph"/>
        <w:numPr>
          <w:ilvl w:val="2"/>
          <w:numId w:val="2"/>
        </w:numPr>
      </w:pPr>
      <w:r w:rsidRPr="00330128">
        <w:rPr>
          <w:rFonts w:eastAsia="Times New Roman" w:cs="Times New Roman"/>
        </w:rPr>
        <w:t>2. the public was concerned about the hidden messages within complex end-user license agreements that may result in unfair corporate advantages over individual rights.</w:t>
      </w:r>
    </w:p>
    <w:p w14:paraId="6A7904C2" w14:textId="77777777" w:rsidR="00497FD3" w:rsidRPr="00330128" w:rsidRDefault="00497FD3" w:rsidP="00497FD3">
      <w:pPr>
        <w:pStyle w:val="ListParagraph"/>
        <w:numPr>
          <w:ilvl w:val="2"/>
          <w:numId w:val="2"/>
        </w:numPr>
      </w:pPr>
      <w:r w:rsidRPr="00330128">
        <w:rPr>
          <w:rFonts w:eastAsia="Times New Roman" w:cs="Times New Roman"/>
        </w:rPr>
        <w:t>3. the public was concerned with the perceived lack of legal policies that regulated digital campaigns and corporate actions.</w:t>
      </w:r>
    </w:p>
    <w:p w14:paraId="3FB86DBA" w14:textId="77777777" w:rsidR="00497FD3" w:rsidRPr="00330128" w:rsidRDefault="00497FD3" w:rsidP="00497FD3">
      <w:pPr>
        <w:pStyle w:val="ListParagraph"/>
        <w:numPr>
          <w:ilvl w:val="0"/>
          <w:numId w:val="2"/>
        </w:numPr>
        <w:rPr>
          <w:b/>
        </w:rPr>
      </w:pPr>
      <w:r w:rsidRPr="00330128">
        <w:rPr>
          <w:rFonts w:eastAsia="Times New Roman" w:cs="Times New Roman"/>
          <w:b/>
        </w:rPr>
        <w:t>Tracking Software</w:t>
      </w:r>
    </w:p>
    <w:p w14:paraId="21565DF3" w14:textId="77777777" w:rsidR="00497FD3" w:rsidRPr="00330128" w:rsidRDefault="00497FD3" w:rsidP="00497FD3">
      <w:pPr>
        <w:pStyle w:val="ListParagraph"/>
        <w:numPr>
          <w:ilvl w:val="1"/>
          <w:numId w:val="2"/>
        </w:numPr>
      </w:pPr>
      <w:r w:rsidRPr="00330128">
        <w:t>Define tracking software- tools that allow practitioners to gain insight into details of the public’s life without direct communication with those members of public</w:t>
      </w:r>
    </w:p>
    <w:p w14:paraId="095F03E7" w14:textId="77777777" w:rsidR="00497FD3" w:rsidRPr="00330128" w:rsidRDefault="00497FD3" w:rsidP="00497FD3">
      <w:pPr>
        <w:pStyle w:val="ListParagraph"/>
        <w:numPr>
          <w:ilvl w:val="1"/>
          <w:numId w:val="2"/>
        </w:numPr>
      </w:pPr>
      <w:r w:rsidRPr="00330128">
        <w:t>Ex: Amazon advertising products a user recently looked at on Facebook</w:t>
      </w:r>
    </w:p>
    <w:p w14:paraId="1D25797B" w14:textId="77777777" w:rsidR="00497FD3" w:rsidRPr="00330128" w:rsidRDefault="00497FD3" w:rsidP="00497FD3">
      <w:pPr>
        <w:pStyle w:val="ListParagraph"/>
        <w:numPr>
          <w:ilvl w:val="2"/>
          <w:numId w:val="2"/>
        </w:numPr>
      </w:pPr>
      <w:r w:rsidRPr="00330128">
        <w:t>Reinforce public concern of this tool</w:t>
      </w:r>
    </w:p>
    <w:p w14:paraId="41B21EE1" w14:textId="77777777" w:rsidR="00497FD3" w:rsidRPr="00330128" w:rsidRDefault="00497FD3" w:rsidP="00497FD3">
      <w:pPr>
        <w:pStyle w:val="ListParagraph"/>
        <w:numPr>
          <w:ilvl w:val="1"/>
          <w:numId w:val="2"/>
        </w:numPr>
      </w:pPr>
      <w:r w:rsidRPr="00330128">
        <w:t>Buying big-datasets of information on the public from tracking software</w:t>
      </w:r>
    </w:p>
    <w:p w14:paraId="6957643E" w14:textId="77777777" w:rsidR="00497FD3" w:rsidRPr="00330128" w:rsidRDefault="00497FD3" w:rsidP="00497FD3">
      <w:pPr>
        <w:pStyle w:val="ListParagraph"/>
        <w:numPr>
          <w:ilvl w:val="2"/>
          <w:numId w:val="2"/>
        </w:numPr>
      </w:pPr>
      <w:r w:rsidRPr="00330128">
        <w:t>Define big-data and big-data warehouses</w:t>
      </w:r>
    </w:p>
    <w:p w14:paraId="58AD9BCD" w14:textId="77777777" w:rsidR="00497FD3" w:rsidRPr="00330128" w:rsidRDefault="00497FD3" w:rsidP="00497FD3">
      <w:pPr>
        <w:pStyle w:val="ListParagraph"/>
        <w:numPr>
          <w:ilvl w:val="2"/>
          <w:numId w:val="2"/>
        </w:numPr>
      </w:pPr>
      <w:r w:rsidRPr="00330128">
        <w:t>Ex: Target advertising pregnancy items to a teen who had not told her family she was pregnant (the retailer learned of her condition from tracking software)</w:t>
      </w:r>
    </w:p>
    <w:p w14:paraId="173EFC4A" w14:textId="77777777" w:rsidR="00497FD3" w:rsidRPr="00330128" w:rsidRDefault="00330128" w:rsidP="00497FD3">
      <w:pPr>
        <w:pStyle w:val="ListParagraph"/>
        <w:numPr>
          <w:ilvl w:val="2"/>
          <w:numId w:val="2"/>
        </w:numPr>
      </w:pPr>
      <w:r w:rsidRPr="00330128">
        <w:t xml:space="preserve">Ex: </w:t>
      </w:r>
      <w:proofErr w:type="spellStart"/>
      <w:r w:rsidRPr="00330128">
        <w:t>FitBit</w:t>
      </w:r>
      <w:proofErr w:type="spellEnd"/>
      <w:r w:rsidRPr="00330128">
        <w:t xml:space="preserve"> identifying a woman is pregnant before she knew herself- is it ethical for </w:t>
      </w:r>
      <w:proofErr w:type="spellStart"/>
      <w:r w:rsidRPr="00330128">
        <w:t>FitBit</w:t>
      </w:r>
      <w:proofErr w:type="spellEnd"/>
      <w:r w:rsidRPr="00330128">
        <w:t xml:space="preserve"> to collect and sell this data to retailers who may want to advertise to this member of the public?</w:t>
      </w:r>
    </w:p>
    <w:p w14:paraId="66615D2D" w14:textId="77777777" w:rsidR="00330128" w:rsidRPr="00330128" w:rsidRDefault="00330128" w:rsidP="00330128">
      <w:pPr>
        <w:pStyle w:val="ListParagraph"/>
        <w:numPr>
          <w:ilvl w:val="0"/>
          <w:numId w:val="2"/>
        </w:numPr>
        <w:rPr>
          <w:b/>
        </w:rPr>
      </w:pPr>
      <w:r w:rsidRPr="00330128">
        <w:rPr>
          <w:b/>
        </w:rPr>
        <w:t>End-User License Agreements</w:t>
      </w:r>
    </w:p>
    <w:p w14:paraId="40406D53" w14:textId="77777777" w:rsidR="00330128" w:rsidRPr="00330128" w:rsidRDefault="00330128" w:rsidP="00330128">
      <w:pPr>
        <w:pStyle w:val="ListParagraph"/>
        <w:numPr>
          <w:ilvl w:val="1"/>
          <w:numId w:val="2"/>
        </w:numPr>
      </w:pPr>
      <w:r w:rsidRPr="00330128">
        <w:t xml:space="preserve">Define end-user license agreements- </w:t>
      </w:r>
      <w:r w:rsidRPr="00330128">
        <w:rPr>
          <w:rFonts w:eastAsia="Times New Roman" w:cs="Times New Roman"/>
        </w:rPr>
        <w:t>long, legal contracts that users “agree” to before entering a platform or creating a profile.</w:t>
      </w:r>
    </w:p>
    <w:p w14:paraId="02AEEB2A" w14:textId="77777777" w:rsidR="00330128" w:rsidRPr="00330128" w:rsidRDefault="00330128" w:rsidP="00330128">
      <w:pPr>
        <w:pStyle w:val="ListParagraph"/>
        <w:numPr>
          <w:ilvl w:val="2"/>
          <w:numId w:val="2"/>
        </w:numPr>
      </w:pPr>
      <w:r w:rsidRPr="00330128">
        <w:rPr>
          <w:rFonts w:eastAsia="Times New Roman" w:cs="Times New Roman"/>
        </w:rPr>
        <w:t>Many users never read them, and it is unclear how legally enforceable they are</w:t>
      </w:r>
    </w:p>
    <w:p w14:paraId="0B804DDA" w14:textId="77777777" w:rsidR="00330128" w:rsidRPr="00330128" w:rsidRDefault="00330128" w:rsidP="00330128">
      <w:pPr>
        <w:pStyle w:val="ListParagraph"/>
        <w:numPr>
          <w:ilvl w:val="1"/>
          <w:numId w:val="2"/>
        </w:numPr>
      </w:pPr>
      <w:r w:rsidRPr="00330128">
        <w:rPr>
          <w:rFonts w:eastAsia="Times New Roman" w:cs="Times New Roman"/>
        </w:rPr>
        <w:t>Balance between legal and ethical practices within the document</w:t>
      </w:r>
    </w:p>
    <w:p w14:paraId="54376263" w14:textId="77777777" w:rsidR="00330128" w:rsidRPr="00330128" w:rsidRDefault="00330128" w:rsidP="00330128">
      <w:pPr>
        <w:pStyle w:val="ListParagraph"/>
        <w:numPr>
          <w:ilvl w:val="1"/>
          <w:numId w:val="2"/>
        </w:numPr>
      </w:pPr>
      <w:r w:rsidRPr="00330128">
        <w:rPr>
          <w:rFonts w:eastAsia="Times New Roman" w:cs="Times New Roman"/>
        </w:rPr>
        <w:t xml:space="preserve">Ex: </w:t>
      </w:r>
      <w:proofErr w:type="spellStart"/>
      <w:r w:rsidRPr="00330128">
        <w:rPr>
          <w:rFonts w:eastAsia="Times New Roman" w:cs="Times New Roman"/>
        </w:rPr>
        <w:t>Gamestation</w:t>
      </w:r>
      <w:proofErr w:type="spellEnd"/>
      <w:r w:rsidRPr="00330128">
        <w:rPr>
          <w:rFonts w:eastAsia="Times New Roman" w:cs="Times New Roman"/>
        </w:rPr>
        <w:t xml:space="preserve">, UK based gaming store- In 2013, the e-retailer added a clause to their agreement that stated users would agree to give </w:t>
      </w:r>
      <w:proofErr w:type="spellStart"/>
      <w:r w:rsidRPr="00330128">
        <w:rPr>
          <w:rFonts w:eastAsia="Times New Roman" w:cs="Times New Roman"/>
        </w:rPr>
        <w:t>Gamestation</w:t>
      </w:r>
      <w:proofErr w:type="spellEnd"/>
      <w:r w:rsidRPr="00330128">
        <w:rPr>
          <w:rFonts w:eastAsia="Times New Roman" w:cs="Times New Roman"/>
        </w:rPr>
        <w:t>, “their immortal souls.” While intended as a joke, once users found out, they protested the retailer and petitioned government for stronger regulations of these agreements.</w:t>
      </w:r>
    </w:p>
    <w:p w14:paraId="6BC657A7" w14:textId="77777777" w:rsidR="00330128" w:rsidRPr="00330128" w:rsidRDefault="00330128" w:rsidP="00330128">
      <w:pPr>
        <w:pStyle w:val="ListParagraph"/>
        <w:numPr>
          <w:ilvl w:val="2"/>
          <w:numId w:val="2"/>
        </w:numPr>
      </w:pPr>
      <w:r w:rsidRPr="00330128">
        <w:rPr>
          <w:rFonts w:eastAsia="Times New Roman" w:cs="Times New Roman"/>
        </w:rPr>
        <w:t>Public anxiety over the items/clauses of end-user license agreements</w:t>
      </w:r>
    </w:p>
    <w:p w14:paraId="331DA192" w14:textId="77777777" w:rsidR="00330128" w:rsidRPr="00330128" w:rsidRDefault="00330128" w:rsidP="00330128">
      <w:pPr>
        <w:pStyle w:val="ListParagraph"/>
        <w:numPr>
          <w:ilvl w:val="2"/>
          <w:numId w:val="2"/>
        </w:numPr>
      </w:pPr>
      <w:r w:rsidRPr="00330128">
        <w:rPr>
          <w:rFonts w:eastAsia="Times New Roman" w:cs="Times New Roman"/>
        </w:rPr>
        <w:lastRenderedPageBreak/>
        <w:t>The end-user license agreement promotes the ideology of transparency, as such agreements are viewed as sneaky and opaque policy stances.</w:t>
      </w:r>
    </w:p>
    <w:p w14:paraId="12CC3A47" w14:textId="77777777" w:rsidR="00330128" w:rsidRPr="00330128" w:rsidRDefault="00330128" w:rsidP="00330128">
      <w:pPr>
        <w:pStyle w:val="ListParagraph"/>
        <w:numPr>
          <w:ilvl w:val="0"/>
          <w:numId w:val="2"/>
        </w:numPr>
      </w:pPr>
      <w:r w:rsidRPr="00330128">
        <w:rPr>
          <w:rFonts w:eastAsia="Times New Roman" w:cs="Times New Roman"/>
        </w:rPr>
        <w:t>Legal Regulations of Digital Ethics</w:t>
      </w:r>
    </w:p>
    <w:p w14:paraId="3FE48046" w14:textId="77777777" w:rsidR="00330128" w:rsidRPr="00330128" w:rsidRDefault="00330128" w:rsidP="00330128">
      <w:pPr>
        <w:pStyle w:val="ListParagraph"/>
        <w:numPr>
          <w:ilvl w:val="1"/>
          <w:numId w:val="2"/>
        </w:numPr>
      </w:pPr>
      <w:r w:rsidRPr="00330128">
        <w:rPr>
          <w:rFonts w:eastAsia="Times New Roman" w:cs="Times New Roman"/>
        </w:rPr>
        <w:t xml:space="preserve">Explain each of the following: </w:t>
      </w:r>
    </w:p>
    <w:p w14:paraId="3C19C609" w14:textId="77777777" w:rsidR="00330128" w:rsidRPr="00330128" w:rsidRDefault="00330128" w:rsidP="00330128">
      <w:pPr>
        <w:pStyle w:val="ListParagraph"/>
        <w:numPr>
          <w:ilvl w:val="2"/>
          <w:numId w:val="2"/>
        </w:numPr>
      </w:pPr>
      <w:r w:rsidRPr="00330128">
        <w:rPr>
          <w:rFonts w:eastAsia="Times New Roman" w:cs="Times New Roman"/>
        </w:rPr>
        <w:t>requirements that the public must know whom you represent</w:t>
      </w:r>
    </w:p>
    <w:p w14:paraId="43CF217C" w14:textId="77777777" w:rsidR="00330128" w:rsidRPr="00330128" w:rsidRDefault="00330128" w:rsidP="00330128">
      <w:pPr>
        <w:pStyle w:val="ListParagraph"/>
        <w:numPr>
          <w:ilvl w:val="2"/>
          <w:numId w:val="2"/>
        </w:numPr>
      </w:pPr>
      <w:r w:rsidRPr="00330128">
        <w:rPr>
          <w:rFonts w:eastAsia="Times New Roman" w:cs="Times New Roman"/>
        </w:rPr>
        <w:t>statements regarding how digital user information will be stored, protected, and used</w:t>
      </w:r>
    </w:p>
    <w:p w14:paraId="7C446032" w14:textId="77777777" w:rsidR="00330128" w:rsidRPr="00330128" w:rsidRDefault="00330128" w:rsidP="00330128">
      <w:pPr>
        <w:pStyle w:val="ListParagraph"/>
        <w:numPr>
          <w:ilvl w:val="2"/>
          <w:numId w:val="2"/>
        </w:numPr>
      </w:pPr>
      <w:r w:rsidRPr="00330128">
        <w:rPr>
          <w:rFonts w:eastAsia="Times New Roman" w:cs="Times New Roman"/>
        </w:rPr>
        <w:t>an “opt-out” capability for digital communication including promotional emails, native advertising, and pop-up</w:t>
      </w:r>
      <w:r>
        <w:rPr>
          <w:rFonts w:eastAsia="Times New Roman" w:cs="Times New Roman"/>
        </w:rPr>
        <w:t>s</w:t>
      </w:r>
    </w:p>
    <w:p w14:paraId="662B494F" w14:textId="77777777" w:rsidR="00330128" w:rsidRPr="00330128" w:rsidRDefault="00330128" w:rsidP="00330128">
      <w:pPr>
        <w:pStyle w:val="ListParagraph"/>
      </w:pPr>
    </w:p>
    <w:sectPr w:rsidR="00330128" w:rsidRPr="00330128" w:rsidSect="00D97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61ACA"/>
    <w:multiLevelType w:val="hybridMultilevel"/>
    <w:tmpl w:val="DB9ECE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3F62B3"/>
    <w:multiLevelType w:val="hybridMultilevel"/>
    <w:tmpl w:val="93907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CF"/>
    <w:rsid w:val="00330128"/>
    <w:rsid w:val="00497FD3"/>
    <w:rsid w:val="006C42CA"/>
    <w:rsid w:val="00881B68"/>
    <w:rsid w:val="00D971CF"/>
    <w:rsid w:val="00E055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8132"/>
  <w15:chartTrackingRefBased/>
  <w15:docId w15:val="{C6681F97-E5DD-4761-9AA6-1DD19521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nicole</dc:creator>
  <cp:keywords/>
  <dc:description/>
  <cp:lastModifiedBy>Virginia Harrison</cp:lastModifiedBy>
  <cp:revision>2</cp:revision>
  <dcterms:created xsi:type="dcterms:W3CDTF">2016-12-11T20:43:00Z</dcterms:created>
  <dcterms:modified xsi:type="dcterms:W3CDTF">2016-12-11T20:43:00Z</dcterms:modified>
</cp:coreProperties>
</file>